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B1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CE6A13">
      <w:pPr>
        <w:pStyle w:val="Heading1"/>
        <w:spacing w:before="90"/>
        <w:ind w:left="0" w:right="10"/>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743039E6" w:rsidR="00883789" w:rsidRPr="003F0963" w:rsidRDefault="006F1B6D" w:rsidP="00772490">
      <w:pPr>
        <w:pStyle w:val="Heading1"/>
        <w:spacing w:before="90"/>
        <w:ind w:left="0" w:right="10"/>
        <w:jc w:val="center"/>
        <w:rPr>
          <w:rFonts w:ascii="Arial" w:hAnsi="Arial" w:cs="Arial"/>
        </w:rPr>
      </w:pPr>
      <w:bookmarkStart w:id="0" w:name="_Hlk141191368"/>
      <w:r>
        <w:rPr>
          <w:rFonts w:ascii="Arial" w:hAnsi="Arial" w:cs="Arial"/>
        </w:rPr>
        <w:t>ECDPT-</w:t>
      </w:r>
      <w:r w:rsidR="00BE78D2">
        <w:rPr>
          <w:rFonts w:ascii="Arial" w:hAnsi="Arial" w:cs="Arial"/>
        </w:rPr>
        <w:t>112: Infant Toddler Development</w:t>
      </w:r>
    </w:p>
    <w:bookmarkEnd w:id="0"/>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86058B4"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 xml:space="preserve">page </w:t>
      </w:r>
      <w:r w:rsidR="00CE6A13">
        <w:rPr>
          <w:rFonts w:ascii="Arial" w:hAnsi="Arial" w:cs="Arial"/>
          <w:b/>
          <w:bCs/>
          <w:sz w:val="24"/>
          <w:szCs w:val="24"/>
        </w:rPr>
        <w:t>4</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1C63CB6A" w14:textId="1EF38F79" w:rsidR="0081502D" w:rsidRDefault="004263E9" w:rsidP="0081502D">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583E762D" w14:textId="77777777" w:rsidR="0081502D" w:rsidRPr="0081502D" w:rsidRDefault="0081502D" w:rsidP="0081502D">
      <w:pPr>
        <w:pStyle w:val="ListParagraph"/>
        <w:ind w:left="720" w:firstLine="0"/>
        <w:rPr>
          <w:rFonts w:ascii="Arial" w:hAnsi="Arial" w:cs="Arial"/>
          <w:sz w:val="24"/>
          <w:szCs w:val="24"/>
        </w:rPr>
      </w:pPr>
    </w:p>
    <w:p w14:paraId="2BD04AF7" w14:textId="77777777" w:rsidR="002C4074" w:rsidRDefault="002C4074" w:rsidP="002C4074">
      <w:pPr>
        <w:rPr>
          <w:lang w:bidi="ar-SA"/>
        </w:rPr>
      </w:pPr>
    </w:p>
    <w:p w14:paraId="3BB716A8" w14:textId="77777777" w:rsidR="002C4074" w:rsidRPr="00CE6A13" w:rsidRDefault="002C4074" w:rsidP="002C4074">
      <w:pPr>
        <w:rPr>
          <w:rFonts w:ascii="Arial" w:hAnsi="Arial" w:cs="Arial"/>
          <w:b/>
          <w:sz w:val="24"/>
          <w:szCs w:val="24"/>
        </w:rPr>
      </w:pPr>
      <w:r w:rsidRPr="00CE6A13">
        <w:rPr>
          <w:rFonts w:ascii="Arial" w:hAnsi="Arial" w:cs="Arial"/>
          <w:b/>
          <w:sz w:val="24"/>
          <w:szCs w:val="24"/>
        </w:rPr>
        <w:lastRenderedPageBreak/>
        <w:t>SCORING:</w:t>
      </w:r>
    </w:p>
    <w:p w14:paraId="79ED07CA" w14:textId="77777777" w:rsidR="002C4074" w:rsidRPr="00CE6A13" w:rsidRDefault="002C4074" w:rsidP="002C4074">
      <w:pPr>
        <w:rPr>
          <w:rFonts w:ascii="Arial" w:hAnsi="Arial" w:cs="Arial"/>
          <w:color w:val="0070C0"/>
          <w:sz w:val="24"/>
          <w:szCs w:val="24"/>
        </w:rPr>
      </w:pPr>
    </w:p>
    <w:p w14:paraId="1550CBA5" w14:textId="77777777" w:rsidR="002C4074" w:rsidRPr="00CE6A13" w:rsidRDefault="002C4074" w:rsidP="002C4074">
      <w:pPr>
        <w:pStyle w:val="ListParagraph"/>
        <w:widowControl/>
        <w:numPr>
          <w:ilvl w:val="0"/>
          <w:numId w:val="32"/>
        </w:numPr>
        <w:autoSpaceDE/>
        <w:autoSpaceDN/>
        <w:spacing w:before="0"/>
        <w:contextualSpacing/>
        <w:rPr>
          <w:rFonts w:ascii="Arial" w:hAnsi="Arial" w:cs="Arial"/>
          <w:sz w:val="24"/>
          <w:szCs w:val="24"/>
        </w:rPr>
      </w:pPr>
      <w:r w:rsidRPr="00CE6A13">
        <w:rPr>
          <w:rFonts w:ascii="Arial" w:hAnsi="Arial" w:cs="Arial"/>
          <w:sz w:val="24"/>
          <w:szCs w:val="24"/>
        </w:rPr>
        <w:t xml:space="preserve">Exceeds Expectations (4): Documentation provided demonstrates exceptional knowledge and mastery of learning outcomes. Work is thorough and complete, and free of errors in conceptualization. </w:t>
      </w:r>
    </w:p>
    <w:p w14:paraId="57A124C6" w14:textId="77777777" w:rsidR="002C4074" w:rsidRPr="00CE6A13" w:rsidRDefault="002C4074" w:rsidP="002C4074">
      <w:pPr>
        <w:pStyle w:val="ListParagraph"/>
        <w:widowControl/>
        <w:numPr>
          <w:ilvl w:val="0"/>
          <w:numId w:val="32"/>
        </w:numPr>
        <w:autoSpaceDE/>
        <w:autoSpaceDN/>
        <w:spacing w:before="0"/>
        <w:contextualSpacing/>
        <w:rPr>
          <w:rFonts w:ascii="Arial" w:hAnsi="Arial" w:cs="Arial"/>
          <w:sz w:val="24"/>
          <w:szCs w:val="24"/>
        </w:rPr>
      </w:pPr>
      <w:r w:rsidRPr="00CE6A13">
        <w:rPr>
          <w:rFonts w:ascii="Arial" w:hAnsi="Arial" w:cs="Arial"/>
          <w:sz w:val="24"/>
          <w:szCs w:val="24"/>
        </w:rPr>
        <w:t>Meets Expectations (3): Documentation provided demonstrates adequate knowledge and mastery of learning outcomes. Work is mostly thorough and complete, and has minimal errors in conceptualization.</w:t>
      </w:r>
    </w:p>
    <w:p w14:paraId="5C0CA3BC" w14:textId="77777777" w:rsidR="002C4074" w:rsidRPr="00CE6A13" w:rsidRDefault="002C4074" w:rsidP="002C4074">
      <w:pPr>
        <w:pStyle w:val="ListParagraph"/>
        <w:widowControl/>
        <w:numPr>
          <w:ilvl w:val="0"/>
          <w:numId w:val="32"/>
        </w:numPr>
        <w:autoSpaceDE/>
        <w:autoSpaceDN/>
        <w:spacing w:before="0"/>
        <w:contextualSpacing/>
        <w:rPr>
          <w:rFonts w:ascii="Arial" w:hAnsi="Arial" w:cs="Arial"/>
          <w:sz w:val="24"/>
          <w:szCs w:val="24"/>
        </w:rPr>
      </w:pPr>
      <w:r w:rsidRPr="00CE6A13">
        <w:rPr>
          <w:rFonts w:ascii="Arial" w:hAnsi="Arial" w:cs="Arial"/>
          <w:sz w:val="24"/>
          <w:szCs w:val="24"/>
        </w:rPr>
        <w:t xml:space="preserve">Needs Improvement (2): Documentation provided demonstrates inadequate knowledge and mastery of learning outcomes. Work is incomplete with weak evidence and errors are present in conceptualization. </w:t>
      </w:r>
    </w:p>
    <w:p w14:paraId="6BF23B09" w14:textId="77777777" w:rsidR="002C4074" w:rsidRPr="00CE6A13" w:rsidRDefault="002C4074" w:rsidP="002C4074">
      <w:pPr>
        <w:pStyle w:val="ListParagraph"/>
        <w:widowControl/>
        <w:numPr>
          <w:ilvl w:val="0"/>
          <w:numId w:val="32"/>
        </w:numPr>
        <w:autoSpaceDE/>
        <w:autoSpaceDN/>
        <w:spacing w:before="0"/>
        <w:contextualSpacing/>
        <w:rPr>
          <w:rFonts w:ascii="Arial" w:hAnsi="Arial" w:cs="Arial"/>
          <w:sz w:val="24"/>
          <w:szCs w:val="24"/>
        </w:rPr>
      </w:pPr>
      <w:r w:rsidRPr="00CE6A13">
        <w:rPr>
          <w:rFonts w:ascii="Arial" w:hAnsi="Arial" w:cs="Arial"/>
          <w:sz w:val="24"/>
          <w:szCs w:val="24"/>
        </w:rPr>
        <w:t>Does not Meet Expectations (1): Work provides very little evidence of knowledge or mastery of learning outcomes. Significant errors or inaccuracies are evident, as well as, major errors in conceptualization.</w:t>
      </w:r>
    </w:p>
    <w:p w14:paraId="445CEB2E" w14:textId="77777777" w:rsidR="002C4074" w:rsidRPr="002C4074" w:rsidRDefault="002C4074" w:rsidP="002C4074">
      <w:pPr>
        <w:rPr>
          <w:lang w:bidi="ar-SA"/>
        </w:rPr>
      </w:pPr>
    </w:p>
    <w:p w14:paraId="2FC97379" w14:textId="5CC05D3C" w:rsidR="00986CAB" w:rsidRPr="00BE78D2" w:rsidRDefault="00986CA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195"/>
        <w:gridCol w:w="1715"/>
      </w:tblGrid>
      <w:tr w:rsidR="00BE78D2" w:rsidRPr="00BE78D2" w14:paraId="3313603F" w14:textId="77777777" w:rsidTr="00BE78D2">
        <w:tc>
          <w:tcPr>
            <w:tcW w:w="7195" w:type="dxa"/>
          </w:tcPr>
          <w:p w14:paraId="3ADA31C3" w14:textId="77777777" w:rsidR="00BE78D2" w:rsidRPr="00CE6A13" w:rsidRDefault="00BE78D2" w:rsidP="00597F3F">
            <w:pPr>
              <w:rPr>
                <w:rFonts w:ascii="Arial" w:hAnsi="Arial" w:cs="Arial"/>
                <w:b/>
                <w:bCs/>
                <w:sz w:val="24"/>
                <w:szCs w:val="24"/>
              </w:rPr>
            </w:pPr>
            <w:r w:rsidRPr="00CE6A13">
              <w:rPr>
                <w:rFonts w:ascii="Arial" w:hAnsi="Arial" w:cs="Arial"/>
                <w:b/>
                <w:bCs/>
                <w:sz w:val="24"/>
                <w:szCs w:val="24"/>
              </w:rPr>
              <w:t>Skill/Outcome</w:t>
            </w:r>
          </w:p>
          <w:p w14:paraId="5FB3C72D" w14:textId="77777777" w:rsidR="00BE78D2" w:rsidRPr="00CE6A13" w:rsidRDefault="00BE78D2" w:rsidP="00597F3F">
            <w:pPr>
              <w:rPr>
                <w:rFonts w:ascii="Arial" w:hAnsi="Arial" w:cs="Arial"/>
                <w:b/>
                <w:bCs/>
                <w:sz w:val="24"/>
                <w:szCs w:val="24"/>
              </w:rPr>
            </w:pPr>
          </w:p>
        </w:tc>
        <w:tc>
          <w:tcPr>
            <w:tcW w:w="1715" w:type="dxa"/>
          </w:tcPr>
          <w:p w14:paraId="0EECF22D" w14:textId="31F320A7" w:rsidR="00BE78D2" w:rsidRPr="00CE6A13" w:rsidRDefault="002C4074" w:rsidP="00597F3F">
            <w:pPr>
              <w:rPr>
                <w:rFonts w:ascii="Arial" w:hAnsi="Arial" w:cs="Arial"/>
                <w:b/>
                <w:bCs/>
                <w:sz w:val="24"/>
                <w:szCs w:val="24"/>
              </w:rPr>
            </w:pPr>
            <w:r w:rsidRPr="00CE6A13">
              <w:rPr>
                <w:rFonts w:ascii="Arial" w:hAnsi="Arial" w:cs="Arial"/>
                <w:b/>
                <w:bCs/>
                <w:sz w:val="24"/>
                <w:szCs w:val="24"/>
              </w:rPr>
              <w:t>Score</w:t>
            </w:r>
          </w:p>
        </w:tc>
      </w:tr>
      <w:tr w:rsidR="00BE78D2" w:rsidRPr="00BE78D2" w14:paraId="5005CDBB" w14:textId="77777777" w:rsidTr="00BE78D2">
        <w:tc>
          <w:tcPr>
            <w:tcW w:w="7195" w:type="dxa"/>
          </w:tcPr>
          <w:p w14:paraId="096017B3" w14:textId="77777777" w:rsidR="00BE78D2" w:rsidRPr="00CE6A13" w:rsidRDefault="00BE78D2" w:rsidP="00597F3F">
            <w:pPr>
              <w:rPr>
                <w:rFonts w:ascii="Arial" w:hAnsi="Arial" w:cs="Arial"/>
                <w:b/>
                <w:bCs/>
              </w:rPr>
            </w:pPr>
            <w:bookmarkStart w:id="1" w:name="_Hlk139624459"/>
            <w:r w:rsidRPr="00CE6A13">
              <w:rPr>
                <w:rFonts w:ascii="Arial" w:hAnsi="Arial" w:cs="Arial"/>
                <w:b/>
                <w:bCs/>
              </w:rPr>
              <w:t xml:space="preserve">Demonstrates an understanding of contemporary theories (attachment theory, psychosocial theory, social learning theory, cognitive theory, and ecological theory) of child development and trends in development and education (family grouping, continuity of care, primary caregiving, and partnerships with families). </w:t>
            </w:r>
          </w:p>
          <w:bookmarkEnd w:id="1"/>
          <w:p w14:paraId="4679D417" w14:textId="77777777" w:rsidR="00BE78D2" w:rsidRPr="00CE6A13" w:rsidRDefault="00BE78D2" w:rsidP="00597F3F">
            <w:pPr>
              <w:pStyle w:val="ListParagraph"/>
              <w:ind w:left="720" w:firstLine="0"/>
              <w:rPr>
                <w:rFonts w:ascii="Arial" w:hAnsi="Arial" w:cs="Arial"/>
                <w:b/>
                <w:bCs/>
              </w:rPr>
            </w:pPr>
          </w:p>
        </w:tc>
        <w:tc>
          <w:tcPr>
            <w:tcW w:w="1715" w:type="dxa"/>
          </w:tcPr>
          <w:p w14:paraId="4ACA5AAF" w14:textId="77777777" w:rsidR="00BE78D2" w:rsidRPr="00CE6A13" w:rsidRDefault="00BE78D2" w:rsidP="00597F3F">
            <w:pPr>
              <w:rPr>
                <w:rFonts w:ascii="Arial" w:hAnsi="Arial" w:cs="Arial"/>
              </w:rPr>
            </w:pPr>
          </w:p>
        </w:tc>
      </w:tr>
      <w:tr w:rsidR="00BE78D2" w:rsidRPr="00BE78D2" w14:paraId="12DAC0D2" w14:textId="77777777" w:rsidTr="00BE78D2">
        <w:tc>
          <w:tcPr>
            <w:tcW w:w="7195" w:type="dxa"/>
          </w:tcPr>
          <w:p w14:paraId="09B256D4" w14:textId="77777777" w:rsidR="00BE78D2" w:rsidRPr="00CE6A13" w:rsidRDefault="00BE78D2" w:rsidP="00597F3F">
            <w:pPr>
              <w:rPr>
                <w:rFonts w:ascii="Arial" w:hAnsi="Arial" w:cs="Arial"/>
                <w:b/>
                <w:bCs/>
              </w:rPr>
            </w:pPr>
            <w:r w:rsidRPr="00CE6A13">
              <w:rPr>
                <w:rFonts w:ascii="Arial" w:hAnsi="Arial" w:cs="Arial"/>
                <w:b/>
                <w:bCs/>
              </w:rPr>
              <w:t xml:space="preserve">Demonstrates understanding of typical patterns of physical and cognitive/language development between birth and 36 months of age, the role adults play in the process of language development, and theories that guide our understanding of cognitive development and scaffolding children’s learning.  </w:t>
            </w:r>
          </w:p>
          <w:p w14:paraId="19B9B8F7" w14:textId="77777777" w:rsidR="00BE78D2" w:rsidRPr="00CE6A13" w:rsidRDefault="00BE78D2" w:rsidP="00BE78D2">
            <w:pPr>
              <w:pStyle w:val="ListParagraph"/>
              <w:widowControl/>
              <w:numPr>
                <w:ilvl w:val="0"/>
                <w:numId w:val="29"/>
              </w:numPr>
              <w:autoSpaceDE/>
              <w:autoSpaceDN/>
              <w:spacing w:before="0"/>
              <w:contextualSpacing/>
              <w:rPr>
                <w:rFonts w:ascii="Arial" w:hAnsi="Arial" w:cs="Arial"/>
              </w:rPr>
            </w:pPr>
            <w:r w:rsidRPr="00CE6A13">
              <w:rPr>
                <w:rFonts w:ascii="Arial" w:hAnsi="Arial" w:cs="Arial"/>
              </w:rPr>
              <w:t xml:space="preserve">Able to explain the progression of brain development during the first two years of life. </w:t>
            </w:r>
          </w:p>
          <w:p w14:paraId="79758231" w14:textId="0DDF4C6C" w:rsidR="00BE78D2" w:rsidRPr="00CE6A13" w:rsidRDefault="00BE78D2" w:rsidP="00BE78D2">
            <w:pPr>
              <w:pStyle w:val="ListParagraph"/>
              <w:widowControl/>
              <w:numPr>
                <w:ilvl w:val="0"/>
                <w:numId w:val="29"/>
              </w:numPr>
              <w:autoSpaceDE/>
              <w:autoSpaceDN/>
              <w:spacing w:before="0"/>
              <w:contextualSpacing/>
              <w:rPr>
                <w:rFonts w:ascii="Arial" w:hAnsi="Arial" w:cs="Arial"/>
              </w:rPr>
            </w:pPr>
            <w:r w:rsidRPr="00CE6A13">
              <w:rPr>
                <w:rFonts w:ascii="Arial" w:hAnsi="Arial" w:cs="Arial"/>
              </w:rPr>
              <w:t xml:space="preserve">Demonstrates an awareness of and causes for Shaken Baby Syndrome and potential outcomes for children. </w:t>
            </w:r>
          </w:p>
        </w:tc>
        <w:tc>
          <w:tcPr>
            <w:tcW w:w="1715" w:type="dxa"/>
          </w:tcPr>
          <w:p w14:paraId="2C1092C1" w14:textId="77777777" w:rsidR="00BE78D2" w:rsidRPr="00CE6A13" w:rsidRDefault="00BE78D2" w:rsidP="00597F3F">
            <w:pPr>
              <w:rPr>
                <w:rFonts w:ascii="Arial" w:hAnsi="Arial" w:cs="Arial"/>
              </w:rPr>
            </w:pPr>
          </w:p>
        </w:tc>
      </w:tr>
      <w:tr w:rsidR="00BE78D2" w:rsidRPr="00BE78D2" w14:paraId="2C3C303C" w14:textId="77777777" w:rsidTr="00BE78D2">
        <w:tc>
          <w:tcPr>
            <w:tcW w:w="7195" w:type="dxa"/>
          </w:tcPr>
          <w:p w14:paraId="6D23EF6F" w14:textId="77777777" w:rsidR="00BE78D2" w:rsidRPr="00CE6A13" w:rsidRDefault="00BE78D2" w:rsidP="00597F3F">
            <w:pPr>
              <w:rPr>
                <w:rFonts w:ascii="Arial" w:hAnsi="Arial" w:cs="Arial"/>
                <w:b/>
                <w:bCs/>
              </w:rPr>
            </w:pPr>
            <w:r w:rsidRPr="00CE6A13">
              <w:rPr>
                <w:rFonts w:ascii="Arial" w:hAnsi="Arial" w:cs="Arial"/>
                <w:b/>
                <w:bCs/>
              </w:rPr>
              <w:t xml:space="preserve">Demonstrates understanding of typical patterns of social and emotional development between birth and 36 months of age, the impact of parent-child interactions on healthy identity development, and impact of secure relationships between adults and infants and toddlers. </w:t>
            </w:r>
          </w:p>
          <w:p w14:paraId="16A5698A" w14:textId="77777777" w:rsidR="00BE78D2" w:rsidRPr="00CE6A13" w:rsidRDefault="00BE78D2" w:rsidP="00597F3F">
            <w:pPr>
              <w:pStyle w:val="ListParagraph"/>
              <w:ind w:left="720" w:firstLine="0"/>
              <w:rPr>
                <w:rFonts w:ascii="Arial" w:hAnsi="Arial" w:cs="Arial"/>
                <w:b/>
                <w:bCs/>
              </w:rPr>
            </w:pPr>
          </w:p>
        </w:tc>
        <w:tc>
          <w:tcPr>
            <w:tcW w:w="1715" w:type="dxa"/>
          </w:tcPr>
          <w:p w14:paraId="62CEA27B" w14:textId="77777777" w:rsidR="00BE78D2" w:rsidRPr="00CE6A13" w:rsidRDefault="00BE78D2" w:rsidP="00597F3F">
            <w:pPr>
              <w:rPr>
                <w:rFonts w:ascii="Arial" w:hAnsi="Arial" w:cs="Arial"/>
              </w:rPr>
            </w:pPr>
          </w:p>
        </w:tc>
      </w:tr>
      <w:tr w:rsidR="00BE78D2" w:rsidRPr="00BE78D2" w14:paraId="500A5C9F" w14:textId="77777777" w:rsidTr="00BE78D2">
        <w:tc>
          <w:tcPr>
            <w:tcW w:w="7195" w:type="dxa"/>
          </w:tcPr>
          <w:p w14:paraId="1C1348B0" w14:textId="77777777" w:rsidR="00BE78D2" w:rsidRPr="00CE6A13" w:rsidRDefault="00BE78D2" w:rsidP="00597F3F">
            <w:pPr>
              <w:rPr>
                <w:rFonts w:ascii="Arial" w:hAnsi="Arial" w:cs="Arial"/>
              </w:rPr>
            </w:pPr>
            <w:r w:rsidRPr="00CE6A13">
              <w:rPr>
                <w:rFonts w:ascii="Arial" w:hAnsi="Arial" w:cs="Arial"/>
                <w:b/>
                <w:bCs/>
              </w:rPr>
              <w:t xml:space="preserve">Demonstrates an understanding of attachment, the impact of positive early relationships on later development, and awareness of appropriate appreciation strategies and impact on children’s development. </w:t>
            </w:r>
          </w:p>
          <w:p w14:paraId="2AD84814" w14:textId="77777777" w:rsidR="00BE78D2" w:rsidRPr="00CE6A13" w:rsidRDefault="00BE78D2" w:rsidP="00597F3F">
            <w:pPr>
              <w:pStyle w:val="ListParagraph"/>
              <w:ind w:left="720" w:firstLine="0"/>
              <w:rPr>
                <w:rFonts w:ascii="Arial" w:hAnsi="Arial" w:cs="Arial"/>
              </w:rPr>
            </w:pPr>
          </w:p>
        </w:tc>
        <w:tc>
          <w:tcPr>
            <w:tcW w:w="1715" w:type="dxa"/>
          </w:tcPr>
          <w:p w14:paraId="4651ED53" w14:textId="77777777" w:rsidR="00BE78D2" w:rsidRPr="00CE6A13" w:rsidRDefault="00BE78D2" w:rsidP="00597F3F">
            <w:pPr>
              <w:rPr>
                <w:rFonts w:ascii="Arial" w:hAnsi="Arial" w:cs="Arial"/>
              </w:rPr>
            </w:pPr>
          </w:p>
        </w:tc>
      </w:tr>
      <w:tr w:rsidR="00BE78D2" w:rsidRPr="00BE78D2" w14:paraId="21FBCFB4" w14:textId="77777777" w:rsidTr="00BE78D2">
        <w:tc>
          <w:tcPr>
            <w:tcW w:w="7195" w:type="dxa"/>
          </w:tcPr>
          <w:p w14:paraId="389026F0" w14:textId="77777777" w:rsidR="00BE78D2" w:rsidRPr="00CE6A13" w:rsidRDefault="00BE78D2" w:rsidP="00597F3F">
            <w:pPr>
              <w:rPr>
                <w:rFonts w:ascii="Arial" w:hAnsi="Arial" w:cs="Arial"/>
                <w:b/>
                <w:bCs/>
              </w:rPr>
            </w:pPr>
            <w:r w:rsidRPr="00CE6A13">
              <w:rPr>
                <w:rFonts w:ascii="Arial" w:hAnsi="Arial" w:cs="Arial"/>
                <w:b/>
                <w:bCs/>
              </w:rPr>
              <w:t xml:space="preserve">Demonstrates an understanding of how to build relationships and guide behavior in infant and toddler care settings such as appropriate interactions, management of the environment, selection of teaching strategies specific to infants and toddlers, strategies for communicating with young children (i.e., emotional talk), and strategies to support infant toddler emotional regulation. </w:t>
            </w:r>
          </w:p>
          <w:p w14:paraId="0D32A39A" w14:textId="77777777" w:rsidR="00BE78D2" w:rsidRPr="00CE6A13" w:rsidRDefault="00BE78D2" w:rsidP="00597F3F">
            <w:pPr>
              <w:pStyle w:val="ListParagraph"/>
              <w:ind w:left="720" w:firstLine="0"/>
              <w:rPr>
                <w:rFonts w:ascii="Arial" w:hAnsi="Arial" w:cs="Arial"/>
              </w:rPr>
            </w:pPr>
            <w:r w:rsidRPr="00CE6A13">
              <w:rPr>
                <w:rFonts w:ascii="Arial" w:hAnsi="Arial" w:cs="Arial"/>
              </w:rPr>
              <w:lastRenderedPageBreak/>
              <w:t xml:space="preserve"> </w:t>
            </w:r>
          </w:p>
        </w:tc>
        <w:tc>
          <w:tcPr>
            <w:tcW w:w="1715" w:type="dxa"/>
          </w:tcPr>
          <w:p w14:paraId="6ABAF953" w14:textId="77777777" w:rsidR="00BE78D2" w:rsidRPr="00CE6A13" w:rsidRDefault="00BE78D2" w:rsidP="00597F3F">
            <w:pPr>
              <w:rPr>
                <w:rFonts w:ascii="Arial" w:hAnsi="Arial" w:cs="Arial"/>
              </w:rPr>
            </w:pPr>
          </w:p>
        </w:tc>
      </w:tr>
      <w:tr w:rsidR="00BE78D2" w:rsidRPr="00BE78D2" w14:paraId="1D8F095A" w14:textId="77777777" w:rsidTr="00BE78D2">
        <w:tc>
          <w:tcPr>
            <w:tcW w:w="7195" w:type="dxa"/>
          </w:tcPr>
          <w:p w14:paraId="545BEB1B" w14:textId="38AD6FC4" w:rsidR="00BE78D2" w:rsidRPr="00CE6A13" w:rsidRDefault="00BE78D2" w:rsidP="00597F3F">
            <w:pPr>
              <w:rPr>
                <w:rFonts w:ascii="Arial" w:hAnsi="Arial" w:cs="Arial"/>
                <w:b/>
                <w:bCs/>
              </w:rPr>
            </w:pPr>
            <w:r w:rsidRPr="00CE6A13">
              <w:rPr>
                <w:rFonts w:ascii="Arial" w:hAnsi="Arial" w:cs="Arial"/>
                <w:b/>
                <w:bCs/>
              </w:rPr>
              <w:t xml:space="preserve">Demonstrates an understanding of how to create high-quality and developmentally appropriate indoor and outdoor learning environments for infants and toddlers including organization of the classroom environment and appropriate equipment and materials to provide a safe and stimulating learning environment. </w:t>
            </w:r>
          </w:p>
          <w:p w14:paraId="655745EB" w14:textId="77777777" w:rsidR="00BE78D2" w:rsidRPr="00CE6A13" w:rsidRDefault="00BE78D2" w:rsidP="00597F3F">
            <w:pPr>
              <w:pStyle w:val="ListParagraph"/>
              <w:ind w:left="720" w:firstLine="0"/>
              <w:rPr>
                <w:rFonts w:ascii="Arial" w:hAnsi="Arial" w:cs="Arial"/>
              </w:rPr>
            </w:pPr>
            <w:r w:rsidRPr="00CE6A13">
              <w:rPr>
                <w:rFonts w:ascii="Arial" w:hAnsi="Arial" w:cs="Arial"/>
              </w:rPr>
              <w:t xml:space="preserve"> </w:t>
            </w:r>
          </w:p>
        </w:tc>
        <w:tc>
          <w:tcPr>
            <w:tcW w:w="1715" w:type="dxa"/>
          </w:tcPr>
          <w:p w14:paraId="602243C7" w14:textId="77777777" w:rsidR="00BE78D2" w:rsidRPr="00CE6A13" w:rsidRDefault="00BE78D2" w:rsidP="00597F3F">
            <w:pPr>
              <w:rPr>
                <w:rFonts w:ascii="Arial" w:hAnsi="Arial" w:cs="Arial"/>
              </w:rPr>
            </w:pPr>
          </w:p>
        </w:tc>
      </w:tr>
      <w:tr w:rsidR="00BE78D2" w:rsidRPr="00BE78D2" w14:paraId="57CE2CF1" w14:textId="77777777" w:rsidTr="00BE78D2">
        <w:tc>
          <w:tcPr>
            <w:tcW w:w="7195" w:type="dxa"/>
          </w:tcPr>
          <w:p w14:paraId="1366964B" w14:textId="77777777" w:rsidR="00BE78D2" w:rsidRPr="00CE6A13" w:rsidRDefault="00BE78D2" w:rsidP="00597F3F">
            <w:pPr>
              <w:rPr>
                <w:rFonts w:ascii="Arial" w:hAnsi="Arial" w:cs="Arial"/>
                <w:b/>
                <w:bCs/>
              </w:rPr>
            </w:pPr>
            <w:r w:rsidRPr="00CE6A13">
              <w:rPr>
                <w:rFonts w:ascii="Arial" w:hAnsi="Arial" w:cs="Arial"/>
                <w:b/>
                <w:bCs/>
              </w:rPr>
              <w:t xml:space="preserve">Demonstrates an understanding of how to design curriculum for infants and toddlers and considerations for inclusive environments. </w:t>
            </w:r>
          </w:p>
          <w:p w14:paraId="61A0717E"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Demonstrates an understanding of the 11 steps of the diapering process.  </w:t>
            </w:r>
          </w:p>
          <w:p w14:paraId="632EDC18"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Demonstrates an understanding of the importance of flexible schedules for infants and toddlers. </w:t>
            </w:r>
          </w:p>
          <w:p w14:paraId="17BE5F16"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Demonstrates an understanding of how personal care routines can be used to promote child development and learning.  </w:t>
            </w:r>
          </w:p>
          <w:p w14:paraId="7D5284B6"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Demonstrates an understanding of the significance of daily plans for infants and young children.  </w:t>
            </w:r>
          </w:p>
          <w:p w14:paraId="61BA4362"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Demonstrates understanding for the appropriateness in creating projects based on children’s interests and abilities rather than theme-based learning.  </w:t>
            </w:r>
          </w:p>
          <w:p w14:paraId="41B7FDD0"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Able to describe appropriate materials and experiences, with caregiver strategies for supporting development of physical, cognitive, emotional, and social skills for children birth through twelve months of age. </w:t>
            </w:r>
          </w:p>
          <w:p w14:paraId="4A90EE07"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Describe materials and experiences, with caregiver strategies for supporting development of physical, cognitive, emotional, and social skills for children twelve to twenty-four months of age. </w:t>
            </w:r>
          </w:p>
          <w:p w14:paraId="350857BD" w14:textId="77777777" w:rsidR="00BE78D2" w:rsidRPr="00CE6A13" w:rsidRDefault="00BE78D2" w:rsidP="00BE78D2">
            <w:pPr>
              <w:pStyle w:val="ListParagraph"/>
              <w:widowControl/>
              <w:numPr>
                <w:ilvl w:val="0"/>
                <w:numId w:val="30"/>
              </w:numPr>
              <w:autoSpaceDE/>
              <w:autoSpaceDN/>
              <w:spacing w:before="0"/>
              <w:contextualSpacing/>
              <w:rPr>
                <w:rFonts w:ascii="Arial" w:hAnsi="Arial" w:cs="Arial"/>
              </w:rPr>
            </w:pPr>
            <w:r w:rsidRPr="00CE6A13">
              <w:rPr>
                <w:rFonts w:ascii="Arial" w:hAnsi="Arial" w:cs="Arial"/>
              </w:rPr>
              <w:t xml:space="preserve">Describe materials and experiences, with caregiver strategies for supporting development of physical, cognitive, emotional, and social skills for children twenty-four to thirty-six months of age. </w:t>
            </w:r>
          </w:p>
          <w:p w14:paraId="1C1AB54B" w14:textId="77777777" w:rsidR="00BE78D2" w:rsidRPr="00CE6A13" w:rsidRDefault="00BE78D2" w:rsidP="00597F3F">
            <w:pPr>
              <w:pStyle w:val="ListParagraph"/>
              <w:ind w:left="720" w:firstLine="0"/>
              <w:rPr>
                <w:rFonts w:ascii="Arial" w:hAnsi="Arial" w:cs="Arial"/>
              </w:rPr>
            </w:pPr>
            <w:r w:rsidRPr="00CE6A13">
              <w:rPr>
                <w:rFonts w:ascii="Arial" w:hAnsi="Arial" w:cs="Arial"/>
              </w:rPr>
              <w:t xml:space="preserve"> </w:t>
            </w:r>
          </w:p>
        </w:tc>
        <w:tc>
          <w:tcPr>
            <w:tcW w:w="1715" w:type="dxa"/>
          </w:tcPr>
          <w:p w14:paraId="47A9CA99" w14:textId="77777777" w:rsidR="00BE78D2" w:rsidRPr="00CE6A13" w:rsidRDefault="00BE78D2" w:rsidP="00597F3F">
            <w:pPr>
              <w:rPr>
                <w:rFonts w:ascii="Arial" w:hAnsi="Arial" w:cs="Arial"/>
              </w:rPr>
            </w:pPr>
          </w:p>
        </w:tc>
      </w:tr>
      <w:tr w:rsidR="00BE78D2" w:rsidRPr="00BE78D2" w14:paraId="7D561E36" w14:textId="77777777" w:rsidTr="00BE78D2">
        <w:tc>
          <w:tcPr>
            <w:tcW w:w="7195" w:type="dxa"/>
          </w:tcPr>
          <w:p w14:paraId="1B9EFFD5" w14:textId="64DE7B74" w:rsidR="00BE78D2" w:rsidRPr="00CE6A13" w:rsidRDefault="00BE78D2" w:rsidP="00597F3F">
            <w:pPr>
              <w:rPr>
                <w:rFonts w:ascii="Arial" w:hAnsi="Arial" w:cs="Arial"/>
                <w:b/>
                <w:bCs/>
              </w:rPr>
            </w:pPr>
            <w:r w:rsidRPr="00CE6A13">
              <w:rPr>
                <w:rFonts w:ascii="Arial" w:hAnsi="Arial" w:cs="Arial"/>
                <w:b/>
                <w:bCs/>
              </w:rPr>
              <w:t>Demonstrate an understanding of the evaluation and assessment process, benefits of early intervention, and how to care for young children with disabilities</w:t>
            </w:r>
          </w:p>
          <w:p w14:paraId="3DC93F88" w14:textId="77777777" w:rsidR="00BE78D2" w:rsidRPr="00CE6A13" w:rsidRDefault="00BE78D2" w:rsidP="00597F3F">
            <w:pPr>
              <w:rPr>
                <w:rFonts w:ascii="Arial" w:hAnsi="Arial" w:cs="Arial"/>
              </w:rPr>
            </w:pPr>
          </w:p>
        </w:tc>
        <w:tc>
          <w:tcPr>
            <w:tcW w:w="1715" w:type="dxa"/>
          </w:tcPr>
          <w:p w14:paraId="6C97243D" w14:textId="77777777" w:rsidR="00BE78D2" w:rsidRPr="00CE6A13" w:rsidRDefault="00BE78D2" w:rsidP="00597F3F">
            <w:pPr>
              <w:rPr>
                <w:rFonts w:ascii="Arial" w:hAnsi="Arial" w:cs="Arial"/>
              </w:rPr>
            </w:pPr>
          </w:p>
        </w:tc>
      </w:tr>
      <w:tr w:rsidR="00BE78D2" w:rsidRPr="00BE78D2" w14:paraId="53125A61" w14:textId="77777777" w:rsidTr="00BE78D2">
        <w:tc>
          <w:tcPr>
            <w:tcW w:w="7195" w:type="dxa"/>
          </w:tcPr>
          <w:p w14:paraId="6BD1E6BD" w14:textId="77777777" w:rsidR="00BE78D2" w:rsidRPr="00CE6A13" w:rsidRDefault="00BE78D2" w:rsidP="00597F3F">
            <w:pPr>
              <w:jc w:val="right"/>
              <w:rPr>
                <w:rFonts w:ascii="Arial" w:hAnsi="Arial" w:cs="Arial"/>
                <w:b/>
                <w:bCs/>
              </w:rPr>
            </w:pPr>
            <w:r w:rsidRPr="00CE6A13">
              <w:rPr>
                <w:rFonts w:ascii="Arial" w:hAnsi="Arial" w:cs="Arial"/>
                <w:b/>
                <w:bCs/>
              </w:rPr>
              <w:t>Total Points</w:t>
            </w:r>
          </w:p>
        </w:tc>
        <w:tc>
          <w:tcPr>
            <w:tcW w:w="1715" w:type="dxa"/>
          </w:tcPr>
          <w:p w14:paraId="6E8DDADE" w14:textId="77777777" w:rsidR="00BE78D2" w:rsidRPr="00CE6A13" w:rsidRDefault="00BE78D2" w:rsidP="00597F3F">
            <w:pPr>
              <w:rPr>
                <w:rFonts w:ascii="Arial" w:hAnsi="Arial" w:cs="Arial"/>
              </w:rPr>
            </w:pPr>
          </w:p>
        </w:tc>
      </w:tr>
      <w:tr w:rsidR="00BE78D2" w:rsidRPr="00BE78D2" w14:paraId="19113AB4" w14:textId="77777777" w:rsidTr="00BE78D2">
        <w:tc>
          <w:tcPr>
            <w:tcW w:w="7195" w:type="dxa"/>
          </w:tcPr>
          <w:p w14:paraId="02220C17" w14:textId="77777777" w:rsidR="00BE78D2" w:rsidRPr="00CE6A13" w:rsidRDefault="00BE78D2" w:rsidP="00597F3F">
            <w:pPr>
              <w:jc w:val="right"/>
              <w:rPr>
                <w:rFonts w:ascii="Arial" w:hAnsi="Arial" w:cs="Arial"/>
                <w:b/>
                <w:bCs/>
              </w:rPr>
            </w:pPr>
            <w:r w:rsidRPr="00CE6A13">
              <w:rPr>
                <w:rFonts w:ascii="Arial" w:hAnsi="Arial" w:cs="Arial"/>
                <w:b/>
                <w:bCs/>
              </w:rPr>
              <w:t>Total Credits</w:t>
            </w:r>
          </w:p>
        </w:tc>
        <w:tc>
          <w:tcPr>
            <w:tcW w:w="1715" w:type="dxa"/>
          </w:tcPr>
          <w:p w14:paraId="6F368174" w14:textId="77777777" w:rsidR="00BE78D2" w:rsidRPr="00CE6A13" w:rsidRDefault="00BE78D2" w:rsidP="00597F3F">
            <w:pPr>
              <w:rPr>
                <w:rFonts w:ascii="Arial" w:hAnsi="Arial" w:cs="Arial"/>
              </w:rPr>
            </w:pPr>
          </w:p>
        </w:tc>
      </w:tr>
    </w:tbl>
    <w:p w14:paraId="1EBB3FBF" w14:textId="73A395F7" w:rsidR="00883789" w:rsidRPr="00BE78D2" w:rsidRDefault="00883789">
      <w:pPr>
        <w:pStyle w:val="BodyText"/>
        <w:spacing w:before="7"/>
        <w:rPr>
          <w:rFonts w:ascii="Times New Roman" w:hAnsi="Times New Roman" w:cs="Times New Roman"/>
        </w:rPr>
      </w:pPr>
    </w:p>
    <w:p w14:paraId="65BD2C6C" w14:textId="255E29A4" w:rsidR="00CC2235" w:rsidRDefault="00CC2235">
      <w:pPr>
        <w:pStyle w:val="BodyText"/>
        <w:spacing w:before="7"/>
        <w:rPr>
          <w:rFonts w:ascii="Arial" w:hAnsi="Arial" w:cs="Arial"/>
        </w:rPr>
      </w:pPr>
    </w:p>
    <w:p w14:paraId="0C9BA960" w14:textId="77777777" w:rsidR="00726AA9" w:rsidRDefault="00726AA9">
      <w:pPr>
        <w:rPr>
          <w:rFonts w:ascii="Arial" w:hAnsi="Arial" w:cs="Arial"/>
          <w:sz w:val="24"/>
          <w:szCs w:val="24"/>
        </w:rPr>
      </w:pPr>
      <w:r>
        <w:rPr>
          <w:rFonts w:ascii="Arial" w:hAnsi="Arial" w:cs="Arial"/>
        </w:rPr>
        <w:br w:type="page"/>
      </w:r>
    </w:p>
    <w:p w14:paraId="28703C77" w14:textId="6F7C3F77"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lastRenderedPageBreak/>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F152F6C" w14:textId="7D8A4624" w:rsidR="00CC2235" w:rsidRPr="00CC2235" w:rsidRDefault="00CE6A13"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r w:rsidRPr="00CE6A13">
        <w:rPr>
          <w:rFonts w:ascii="Times New Roman" w:eastAsia="Times New Roman" w:hAnsi="Times New Roman" w:cs="Times New Roman"/>
          <w:color w:val="000000"/>
          <w:sz w:val="24"/>
          <w:szCs w:val="20"/>
          <w:lang w:bidi="ar-SA"/>
        </w:rPr>
        <w:t>ECDPT-112: Infant Toddler Development</w:t>
      </w: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461202BB"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4</w:t>
            </w:r>
          </w:hyperlink>
        </w:p>
        <w:p w14:paraId="28B76989" w14:textId="5553EE47" w:rsidR="003F5A48" w:rsidRPr="00CC2235" w:rsidRDefault="00CE6A13"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4</w:t>
            </w:r>
          </w:hyperlink>
        </w:p>
        <w:p w14:paraId="16D8BD10" w14:textId="77777777"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446FF195"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6</w:t>
            </w:r>
          </w:hyperlink>
        </w:p>
        <w:p w14:paraId="7A2E3F8A" w14:textId="5D6D654D"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7</w:t>
            </w:r>
          </w:hyperlink>
        </w:p>
        <w:p w14:paraId="5B489275" w14:textId="0E489D8B" w:rsidR="00CC2235" w:rsidRPr="00CC2235" w:rsidRDefault="00CE6A1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7</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2" w:name="h.gjdgxs" w:colFirst="0" w:colLast="0"/>
      <w:bookmarkStart w:id="3" w:name="h.e6pvzdt01j2z" w:colFirst="0" w:colLast="0"/>
      <w:bookmarkEnd w:id="2"/>
      <w:bookmarkEnd w:id="3"/>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FAA06B5" w14:textId="77777777" w:rsidR="00CE6A13" w:rsidRDefault="00CE6A13"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649183A1" w14:textId="77777777" w:rsidR="00CE6A13" w:rsidRDefault="00CE6A13"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4" w:name="_Toc90467075"/>
      <w:bookmarkStart w:id="5"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4"/>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1A0D61FA"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2540C28A"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395AAEB9"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488382D8"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377276F4"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670D59DE"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0404D4B7"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53B2A865"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14C1BBE3"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431F35FB"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428651AA"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79B920E0"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031511F3"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6C9214DD"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5759E0B1"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5F68E412"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3485D76B"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34845AF8"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020D7949"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4807414A"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680D052C"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5E48662F"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7C926835"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097B236E"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40CCCD25"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32B3A449"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4605DF27"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6AADA670"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2C4ECBC6" w14:textId="77777777" w:rsidR="00CE6A13" w:rsidRDefault="00CE6A13" w:rsidP="00CC2235">
      <w:pPr>
        <w:widowControl/>
        <w:autoSpaceDE/>
        <w:autoSpaceDN/>
        <w:rPr>
          <w:rFonts w:ascii="Times New Roman" w:eastAsia="Times New Roman" w:hAnsi="Times New Roman" w:cs="Times New Roman"/>
          <w:color w:val="000000"/>
          <w:sz w:val="24"/>
          <w:szCs w:val="20"/>
          <w:lang w:bidi="ar-SA"/>
        </w:rPr>
      </w:pPr>
    </w:p>
    <w:p w14:paraId="339B70CD" w14:textId="77777777" w:rsidR="00CE6A13" w:rsidRPr="00CC2235" w:rsidRDefault="00CE6A13"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6" w:name="_Toc90467076"/>
      <w:r w:rsidRPr="00CC2235">
        <w:rPr>
          <w:rFonts w:ascii="Times New Roman" w:eastAsia="Times New Roman" w:hAnsi="Times New Roman" w:cs="Times New Roman"/>
          <w:color w:val="003865"/>
          <w:sz w:val="32"/>
          <w:szCs w:val="32"/>
          <w:lang w:bidi="ar-SA"/>
        </w:rPr>
        <w:lastRenderedPageBreak/>
        <w:t>Course Description</w:t>
      </w:r>
      <w:bookmarkEnd w:id="6"/>
    </w:p>
    <w:p w14:paraId="5972E49B" w14:textId="4B15E61D" w:rsidR="00D13D2F" w:rsidRPr="00BE78D2" w:rsidRDefault="00726AA9"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E78D2">
        <w:rPr>
          <w:rFonts w:ascii="Times New Roman" w:eastAsia="Times New Roman" w:hAnsi="Times New Roman" w:cs="Times New Roman"/>
          <w:color w:val="000000"/>
          <w:sz w:val="24"/>
          <w:szCs w:val="20"/>
          <w:lang w:bidi="ar-SA"/>
        </w:rPr>
        <w:t>ECDPT-</w:t>
      </w:r>
      <w:r w:rsidR="00BE78D2" w:rsidRPr="00BE78D2">
        <w:rPr>
          <w:rFonts w:ascii="Times New Roman" w:eastAsia="Times New Roman" w:hAnsi="Times New Roman" w:cs="Times New Roman"/>
          <w:color w:val="000000"/>
          <w:sz w:val="24"/>
          <w:szCs w:val="20"/>
          <w:lang w:bidi="ar-SA"/>
        </w:rPr>
        <w:t>112: Infant Toddler Development</w:t>
      </w:r>
    </w:p>
    <w:p w14:paraId="77D421AB" w14:textId="77777777" w:rsidR="00BE78D2" w:rsidRPr="00BE78D2" w:rsidRDefault="00BE78D2" w:rsidP="00BE78D2">
      <w:pPr>
        <w:rPr>
          <w:rFonts w:ascii="Times New Roman" w:hAnsi="Times New Roman" w:cs="Times New Roman"/>
          <w:sz w:val="24"/>
          <w:szCs w:val="24"/>
        </w:rPr>
      </w:pPr>
      <w:r w:rsidRPr="00BE78D2">
        <w:rPr>
          <w:rFonts w:ascii="Times New Roman" w:hAnsi="Times New Roman" w:cs="Times New Roman"/>
          <w:sz w:val="24"/>
          <w:szCs w:val="24"/>
        </w:rPr>
        <w:t xml:space="preserve">Examine the unique developmental needs of infants and toddlers. Study the role of the caregiver, relationships with families, developmentally appropriate practices, nurturing environments for infants and toddlers, and culturally relevant care. </w:t>
      </w:r>
    </w:p>
    <w:p w14:paraId="62D75F3E" w14:textId="77777777" w:rsidR="00183432" w:rsidRDefault="00C831B5"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Learning Outcomes</w:t>
      </w:r>
    </w:p>
    <w:p w14:paraId="5808B5E8"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 xml:space="preserve">Describe different contemporary theories of child development and trends in development and early care and education. </w:t>
      </w:r>
    </w:p>
    <w:p w14:paraId="613778E5"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Describe developmental milestones from birth to 36 months articulating the influences of individual development, temperament and cultural norms</w:t>
      </w:r>
    </w:p>
    <w:p w14:paraId="2825CD72"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Develop a plan to create reciprocal, culturally sensitive partnerships with families</w:t>
      </w:r>
    </w:p>
    <w:p w14:paraId="4D47699A"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Describe state infant/toddler child care regulations and procedures related to group size, health, nutrition, and safety</w:t>
      </w:r>
    </w:p>
    <w:p w14:paraId="47AB14F5"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Describe guidance techniques that are appropriate and effective with infants and toddlers</w:t>
      </w:r>
    </w:p>
    <w:p w14:paraId="094FD6F2"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 xml:space="preserve">Create and critique infant and toddler early learning environments that support children’s physical, cognitive/language, emotional, creative and social development. </w:t>
      </w:r>
    </w:p>
    <w:p w14:paraId="56F5B085" w14:textId="77777777" w:rsidR="00BE78D2"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Construct a plan for developmentally appropriate, culturally relevant curriculum that supports language, physical, cognitive, creative, social, and emotional development</w:t>
      </w:r>
    </w:p>
    <w:p w14:paraId="09511224" w14:textId="24B4778B" w:rsidR="00193735" w:rsidRPr="00BE78D2" w:rsidRDefault="00BE78D2" w:rsidP="00BE78D2">
      <w:pPr>
        <w:pStyle w:val="ListParagraph"/>
        <w:widowControl/>
        <w:numPr>
          <w:ilvl w:val="0"/>
          <w:numId w:val="31"/>
        </w:numPr>
        <w:autoSpaceDE/>
        <w:autoSpaceDN/>
        <w:spacing w:before="0" w:after="200" w:line="276" w:lineRule="auto"/>
        <w:contextualSpacing/>
        <w:rPr>
          <w:rFonts w:ascii="Times New Roman" w:hAnsi="Times New Roman" w:cs="Times New Roman"/>
          <w:sz w:val="24"/>
          <w:szCs w:val="24"/>
        </w:rPr>
      </w:pPr>
      <w:r w:rsidRPr="00BE78D2">
        <w:rPr>
          <w:rFonts w:ascii="Times New Roman" w:hAnsi="Times New Roman" w:cs="Times New Roman"/>
          <w:sz w:val="24"/>
          <w:szCs w:val="24"/>
        </w:rPr>
        <w:t xml:space="preserve">Identify resources supporting infant/toddler programs and infant/toddler specialists </w:t>
      </w:r>
    </w:p>
    <w:p w14:paraId="5CD3BAC9" w14:textId="77777777" w:rsidR="00CE6A13" w:rsidRDefault="00CE6A13"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7"/>
    </w:p>
    <w:p w14:paraId="1E0EF59A" w14:textId="2659C47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t>Educational Goals</w:t>
      </w:r>
      <w:bookmarkEnd w:id="7"/>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500BAF4D" w14:textId="79693903" w:rsidR="003F5A48"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bookmarkEnd w:id="5"/>
    </w:p>
    <w:p w14:paraId="69A7B832" w14:textId="77777777" w:rsidR="00CE6A13" w:rsidRDefault="00CE6A13"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p>
    <w:p w14:paraId="1F4459AA" w14:textId="77777777" w:rsidR="00CE6A13" w:rsidRDefault="00CE6A13"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p>
    <w:p w14:paraId="3A96FA4B" w14:textId="77777777" w:rsidR="00CE6A13" w:rsidRDefault="00CE6A13"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p>
    <w:p w14:paraId="7F7F4FB8" w14:textId="77777777" w:rsidR="00CE6A13" w:rsidRPr="00193735" w:rsidRDefault="00CE6A13"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8" w:name="_Toc90467078"/>
      <w:bookmarkStart w:id="9" w:name="_Hlk122337576"/>
      <w:r w:rsidRPr="00CC2235">
        <w:rPr>
          <w:rFonts w:ascii="Times New Roman" w:eastAsia="Times New Roman" w:hAnsi="Times New Roman" w:cs="Times New Roman"/>
          <w:color w:val="003865"/>
          <w:sz w:val="32"/>
          <w:szCs w:val="20"/>
          <w:lang w:bidi="ar-SA"/>
        </w:rPr>
        <w:lastRenderedPageBreak/>
        <w:t>Chronological Resume</w:t>
      </w:r>
      <w:bookmarkEnd w:id="8"/>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10" w:name="h.z6obmnve2l8j" w:colFirst="0" w:colLast="0"/>
      <w:bookmarkStart w:id="11" w:name="h.rwmuorp9owci" w:colFirst="0" w:colLast="0"/>
      <w:bookmarkStart w:id="12" w:name="h.s6ouote0igwo" w:colFirst="0" w:colLast="0"/>
      <w:bookmarkStart w:id="13" w:name="_Toc35696606"/>
      <w:bookmarkEnd w:id="10"/>
      <w:bookmarkEnd w:id="11"/>
      <w:bookmarkEnd w:id="12"/>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3"/>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434ECBD" w14:textId="72D734A2" w:rsidR="00CC2235" w:rsidRDefault="00CC2235" w:rsidP="00193735">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65F260AC"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16EF8101"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1DE9BB8D"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075C5FB9"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2AB1081A"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50611B74"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65218C29"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2371AA3C"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3E4B35B3"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7C48A874"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4FEEF796"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39D06765"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1DDF088A"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288097DF"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77A22EBE"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33C8CC93"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29F22D2B" w14:textId="77777777" w:rsidR="00CE6A13"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18DB54E0" w14:textId="77777777" w:rsidR="00CE6A13" w:rsidRPr="00BE78D2" w:rsidRDefault="00CE6A13" w:rsidP="00CE6A13">
      <w:pPr>
        <w:widowControl/>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4"/>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9"/>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5" w:name="h.3at778azwvbc" w:colFirst="0" w:colLast="0"/>
      <w:bookmarkStart w:id="16" w:name="h.ix30wj73ab37" w:colFirst="0" w:colLast="0"/>
      <w:bookmarkStart w:id="17" w:name="h.ppsagwtbe1o3" w:colFirst="0" w:colLast="0"/>
      <w:bookmarkStart w:id="18" w:name="_Toc90467080"/>
      <w:bookmarkEnd w:id="15"/>
      <w:bookmarkEnd w:id="16"/>
      <w:bookmarkEnd w:id="17"/>
      <w:r w:rsidRPr="00CC2235">
        <w:rPr>
          <w:rFonts w:ascii="Times New Roman" w:eastAsia="Times New Roman" w:hAnsi="Times New Roman" w:cs="Times New Roman"/>
          <w:color w:val="003865"/>
          <w:sz w:val="32"/>
          <w:szCs w:val="20"/>
          <w:lang w:bidi="ar-SA"/>
        </w:rPr>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8"/>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1B6D98F4" w14:textId="2D004CDF" w:rsidR="00CC2235" w:rsidRPr="00CC2235" w:rsidRDefault="00CC2235" w:rsidP="001937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hf7sjmq4sjwn" w:colFirst="0" w:colLast="0"/>
      <w:bookmarkStart w:id="20" w:name="_Toc90467081"/>
      <w:bookmarkEnd w:id="19"/>
      <w:r w:rsidRPr="00CC2235">
        <w:rPr>
          <w:rFonts w:ascii="Times New Roman" w:eastAsia="Times New Roman" w:hAnsi="Times New Roman" w:cs="Times New Roman"/>
          <w:color w:val="003865"/>
          <w:sz w:val="32"/>
          <w:szCs w:val="20"/>
          <w:lang w:bidi="ar-SA"/>
        </w:rPr>
        <w:lastRenderedPageBreak/>
        <w:t>Bibliography</w:t>
      </w:r>
      <w:bookmarkEnd w:id="20"/>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58F284A9" w14:textId="09661A64" w:rsidR="00BE78D2"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37FB343C" w14:textId="77777777" w:rsidR="00CE6A13" w:rsidRPr="00CE6A13" w:rsidRDefault="00CE6A13"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1" w:name="h.l575xrub5sfp" w:colFirst="0" w:colLast="0"/>
      <w:bookmarkStart w:id="22" w:name="_Toc90467082"/>
      <w:bookmarkEnd w:id="21"/>
      <w:r w:rsidRPr="00CC2235">
        <w:rPr>
          <w:rFonts w:ascii="Times New Roman" w:eastAsia="Times New Roman" w:hAnsi="Times New Roman" w:cs="Times New Roman"/>
          <w:color w:val="003865"/>
          <w:sz w:val="32"/>
          <w:szCs w:val="20"/>
          <w:lang w:bidi="ar-SA"/>
        </w:rPr>
        <w:t>Documentation</w:t>
      </w:r>
      <w:bookmarkEnd w:id="22"/>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8"/>
      <w:headerReference w:type="first" r:id="rId9"/>
      <w:footerReference w:type="first" r:id="rId10"/>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A717" w14:textId="77777777" w:rsidR="00332F11" w:rsidRDefault="00332F11">
      <w:r>
        <w:separator/>
      </w:r>
    </w:p>
  </w:endnote>
  <w:endnote w:type="continuationSeparator" w:id="0">
    <w:p w14:paraId="65D08533" w14:textId="77777777" w:rsidR="00332F11" w:rsidRDefault="0033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A49F" w14:textId="77777777" w:rsidR="00332F11" w:rsidRDefault="00332F11">
      <w:r>
        <w:separator/>
      </w:r>
    </w:p>
  </w:footnote>
  <w:footnote w:type="continuationSeparator" w:id="0">
    <w:p w14:paraId="3D9F8BFC" w14:textId="77777777" w:rsidR="00332F11" w:rsidRDefault="0033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0144AE20" w:rsidR="00986CAB" w:rsidRDefault="00CE6A13">
    <w:pPr>
      <w:pStyle w:val="Header"/>
    </w:pPr>
    <w:r>
      <w:rPr>
        <w:noProof/>
      </w:rPr>
      <w:drawing>
        <wp:anchor distT="0" distB="0" distL="114300" distR="114300" simplePos="0" relativeHeight="251659264" behindDoc="0" locked="0" layoutInCell="1" allowOverlap="1" wp14:anchorId="42D8ABE2" wp14:editId="57C60D0A">
          <wp:simplePos x="0" y="0"/>
          <wp:positionH relativeFrom="margin">
            <wp:align>center</wp:align>
          </wp:positionH>
          <wp:positionV relativeFrom="paragraph">
            <wp:posOffset>-486410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2760F"/>
    <w:multiLevelType w:val="hybridMultilevel"/>
    <w:tmpl w:val="F778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41633"/>
    <w:multiLevelType w:val="hybridMultilevel"/>
    <w:tmpl w:val="998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8"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E80D85"/>
    <w:multiLevelType w:val="hybridMultilevel"/>
    <w:tmpl w:val="8FB2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A3ADA"/>
    <w:multiLevelType w:val="hybridMultilevel"/>
    <w:tmpl w:val="0A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F77BF"/>
    <w:multiLevelType w:val="hybridMultilevel"/>
    <w:tmpl w:val="374A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74354"/>
    <w:multiLevelType w:val="hybridMultilevel"/>
    <w:tmpl w:val="A1A6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368C5"/>
    <w:multiLevelType w:val="hybridMultilevel"/>
    <w:tmpl w:val="523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7"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2"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25838"/>
    <w:multiLevelType w:val="hybridMultilevel"/>
    <w:tmpl w:val="692E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34F60"/>
    <w:multiLevelType w:val="hybridMultilevel"/>
    <w:tmpl w:val="DAC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A1433"/>
    <w:multiLevelType w:val="hybridMultilevel"/>
    <w:tmpl w:val="B29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7"/>
  </w:num>
  <w:num w:numId="4">
    <w:abstractNumId w:val="20"/>
  </w:num>
  <w:num w:numId="5">
    <w:abstractNumId w:val="0"/>
  </w:num>
  <w:num w:numId="6">
    <w:abstractNumId w:val="26"/>
  </w:num>
  <w:num w:numId="7">
    <w:abstractNumId w:val="13"/>
  </w:num>
  <w:num w:numId="8">
    <w:abstractNumId w:val="5"/>
  </w:num>
  <w:num w:numId="9">
    <w:abstractNumId w:val="18"/>
  </w:num>
  <w:num w:numId="10">
    <w:abstractNumId w:val="2"/>
  </w:num>
  <w:num w:numId="11">
    <w:abstractNumId w:val="29"/>
  </w:num>
  <w:num w:numId="12">
    <w:abstractNumId w:val="24"/>
  </w:num>
  <w:num w:numId="13">
    <w:abstractNumId w:val="22"/>
  </w:num>
  <w:num w:numId="14">
    <w:abstractNumId w:val="11"/>
  </w:num>
  <w:num w:numId="15">
    <w:abstractNumId w:val="19"/>
  </w:num>
  <w:num w:numId="16">
    <w:abstractNumId w:val="4"/>
  </w:num>
  <w:num w:numId="17">
    <w:abstractNumId w:val="30"/>
  </w:num>
  <w:num w:numId="18">
    <w:abstractNumId w:val="27"/>
  </w:num>
  <w:num w:numId="19">
    <w:abstractNumId w:val="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3"/>
  </w:num>
  <w:num w:numId="24">
    <w:abstractNumId w:val="31"/>
  </w:num>
  <w:num w:numId="25">
    <w:abstractNumId w:val="15"/>
  </w:num>
  <w:num w:numId="26">
    <w:abstractNumId w:val="14"/>
  </w:num>
  <w:num w:numId="27">
    <w:abstractNumId w:val="1"/>
  </w:num>
  <w:num w:numId="28">
    <w:abstractNumId w:val="23"/>
  </w:num>
  <w:num w:numId="29">
    <w:abstractNumId w:val="25"/>
  </w:num>
  <w:num w:numId="30">
    <w:abstractNumId w:val="9"/>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06A30"/>
    <w:rsid w:val="00074CCF"/>
    <w:rsid w:val="00085362"/>
    <w:rsid w:val="000A687F"/>
    <w:rsid w:val="000C4E02"/>
    <w:rsid w:val="001069EB"/>
    <w:rsid w:val="00183432"/>
    <w:rsid w:val="00193735"/>
    <w:rsid w:val="00232913"/>
    <w:rsid w:val="002C4074"/>
    <w:rsid w:val="00332F11"/>
    <w:rsid w:val="003931F3"/>
    <w:rsid w:val="003A0CAE"/>
    <w:rsid w:val="003F0963"/>
    <w:rsid w:val="003F5A48"/>
    <w:rsid w:val="004263E9"/>
    <w:rsid w:val="004A09CF"/>
    <w:rsid w:val="006B20D2"/>
    <w:rsid w:val="006F1B6D"/>
    <w:rsid w:val="00702CCD"/>
    <w:rsid w:val="00726AA9"/>
    <w:rsid w:val="00772490"/>
    <w:rsid w:val="0081502D"/>
    <w:rsid w:val="0083020B"/>
    <w:rsid w:val="008450E8"/>
    <w:rsid w:val="00883789"/>
    <w:rsid w:val="009478FD"/>
    <w:rsid w:val="00986CAB"/>
    <w:rsid w:val="00B20905"/>
    <w:rsid w:val="00B456F3"/>
    <w:rsid w:val="00B65E4A"/>
    <w:rsid w:val="00BE78D2"/>
    <w:rsid w:val="00BF0F7D"/>
    <w:rsid w:val="00C831B5"/>
    <w:rsid w:val="00C966A2"/>
    <w:rsid w:val="00CC2235"/>
    <w:rsid w:val="00CE6A13"/>
    <w:rsid w:val="00D13D2F"/>
    <w:rsid w:val="00DD442E"/>
    <w:rsid w:val="00E4053A"/>
    <w:rsid w:val="00E946F9"/>
    <w:rsid w:val="00EC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6"/>
      <w:outlineLvl w:val="0"/>
    </w:pPr>
    <w:rPr>
      <w:b/>
      <w:bCs/>
      <w:sz w:val="24"/>
      <w:szCs w:val="24"/>
    </w:rPr>
  </w:style>
  <w:style w:type="paragraph" w:styleId="Heading2">
    <w:name w:val="heading 2"/>
    <w:basedOn w:val="Normal"/>
    <w:next w:val="Normal"/>
    <w:link w:val="Heading2Char"/>
    <w:uiPriority w:val="9"/>
    <w:unhideWhenUsed/>
    <w:qFormat/>
    <w:rsid w:val="0081502D"/>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customStyle="1" w:styleId="Heading1Char">
    <w:name w:val="Heading 1 Char"/>
    <w:basedOn w:val="DefaultParagraphFont"/>
    <w:link w:val="Heading1"/>
    <w:uiPriority w:val="9"/>
    <w:rsid w:val="000A687F"/>
    <w:rPr>
      <w:rFonts w:ascii="Cambria" w:eastAsia="Cambria" w:hAnsi="Cambria" w:cs="Cambria"/>
      <w:b/>
      <w:bCs/>
      <w:sz w:val="24"/>
      <w:szCs w:val="24"/>
      <w:lang w:bidi="en-US"/>
    </w:rPr>
  </w:style>
  <w:style w:type="table" w:customStyle="1" w:styleId="TableGrid2">
    <w:name w:val="Table Grid2"/>
    <w:basedOn w:val="TableNormal"/>
    <w:next w:val="TableGrid"/>
    <w:uiPriority w:val="39"/>
    <w:rsid w:val="000A687F"/>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A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81502D"/>
    <w:rPr>
      <w:rFonts w:asciiTheme="majorHAnsi" w:eastAsiaTheme="majorEastAsia" w:hAnsiTheme="majorHAnsi" w:cstheme="majorBidi"/>
      <w:color w:val="365F91" w:themeColor="accent1" w:themeShade="BF"/>
      <w:kern w:val="2"/>
      <w:sz w:val="26"/>
      <w:szCs w:val="26"/>
      <w14:ligatures w14:val="standardContextual"/>
    </w:rPr>
  </w:style>
  <w:style w:type="paragraph" w:styleId="Title">
    <w:name w:val="Title"/>
    <w:basedOn w:val="Normal"/>
    <w:next w:val="Normal"/>
    <w:link w:val="TitleChar"/>
    <w:uiPriority w:val="10"/>
    <w:qFormat/>
    <w:rsid w:val="0081502D"/>
    <w:pPr>
      <w:widowControl/>
      <w:autoSpaceDE/>
      <w:autoSpaceDN/>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81502D"/>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4</cp:revision>
  <dcterms:created xsi:type="dcterms:W3CDTF">2023-07-07T20:08:00Z</dcterms:created>
  <dcterms:modified xsi:type="dcterms:W3CDTF">2023-07-25T22:31:00Z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